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80" w:after="180" w:line="460"/>
        <w:ind w:right="0" w:left="0" w:firstLine="0"/>
        <w:jc w:val="center"/>
        <w:rPr>
          <w:rFonts w:ascii="標楷體" w:hAnsi="標楷體" w:cs="標楷體" w:eastAsia="標楷體"/>
          <w:b/>
          <w:color w:val="000000"/>
          <w:spacing w:val="-10"/>
          <w:position w:val="0"/>
          <w:sz w:val="40"/>
          <w:shd w:fill="auto" w:val="clear"/>
        </w:rPr>
      </w:pPr>
      <w:r>
        <w:rPr>
          <w:rFonts w:ascii="標楷體" w:hAnsi="標楷體" w:cs="標楷體" w:eastAsia="標楷體"/>
          <w:b/>
          <w:color w:val="000000"/>
          <w:spacing w:val="-10"/>
          <w:position w:val="0"/>
          <w:sz w:val="40"/>
          <w:shd w:fill="auto" w:val="clear"/>
        </w:rPr>
        <w:t xml:space="preserve">公務員廉政倫理規範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80" w:after="180" w:line="240"/>
        <w:ind w:right="0" w:left="240" w:hanging="24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1.中華民國九十七年六月二十六日行政院院臺法字第 0970087013 號函訂定發布全文20點；並定自九十七年八月ㄧ日生效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80" w:after="180" w:line="240"/>
        <w:ind w:right="0" w:left="240" w:hanging="24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2.中華民國九十九年七月三十日行政院院臺法字第0990040576號函修正公布全文21點，並自即日生效</w:t>
      </w:r>
    </w:p>
    <w:p>
      <w:pPr>
        <w:spacing w:before="0" w:after="0" w:line="460"/>
        <w:ind w:right="0" w:left="538" w:hanging="538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一、行政院（以下簡稱本院）為使所屬公務員執行職務，廉潔自持、公正無私及依法行政，並提升政府之清廉形象，特訂定本規範。</w:t>
      </w:r>
    </w:p>
    <w:p>
      <w:pPr>
        <w:spacing w:before="0" w:after="0" w:line="460"/>
        <w:ind w:right="0" w:left="538" w:hanging="538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二、本規範用詞，定義如下：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540" w:firstLine="2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（一）公務員：指適用公務員服務法之人員。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334" w:hanging="794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（二）與其職務有利害關係：指個人、法人、團體或其他單位與本機關（構）或其所屬機關（構）間，具有下列情形之一者：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800" w:hanging="42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1、業務往來、指揮監督或費用補(獎）助等關係。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800" w:hanging="42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2、正在尋求、進行或已訂立承攬、買賣或其他契約關係。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800" w:hanging="42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3、其他因本機關（構）業務之決定、執行或不執行，將遭受有利或不利之影響。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336" w:hanging="794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（三）正常社交禮俗標準：指一般人社交往來，市價不超過新臺幣三千元者。但同一年度來自同一來源受贈財物以新臺幣一萬元為限。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336" w:hanging="794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（四）公務禮儀：指基於公務需要，在國內（外）訪問、接待外賓、推動業務及溝通協調時，依禮貌、慣例或習俗所為之活動。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336" w:hanging="794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（五）請託關說：指其內容涉及本機關（構）或所屬機關（構）業務具體事項之決定、執行或不執行，且因該事項之決定、執行或不執行致有違法或不當而影響特定權利義務之虞。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504" w:hanging="504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三、公務員應依法公正執行職務，以公共利益為依歸，不得假借職務上之權力、方法、機會圖本人或第三人不正之利益。</w:t>
      </w:r>
    </w:p>
    <w:p>
      <w:pPr>
        <w:spacing w:before="0" w:after="0" w:line="460"/>
        <w:ind w:right="0" w:left="504" w:hanging="504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四、公務員不得要求、期約或收受與其職務有利害關係者餽贈財物。但有下列情形之一，且係偶發而無影響特定權利義務之虞時，得受贈之：</w:t>
      </w:r>
    </w:p>
    <w:p>
      <w:pPr>
        <w:spacing w:before="0" w:after="0" w:line="460"/>
        <w:ind w:right="0" w:left="1080" w:hanging="72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（一）屬公務禮儀。</w:t>
      </w:r>
    </w:p>
    <w:p>
      <w:pPr>
        <w:spacing w:before="0" w:after="0" w:line="460"/>
        <w:ind w:right="0" w:left="1080" w:hanging="72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（二）長官之獎勵、救助或慰問。</w:t>
      </w:r>
    </w:p>
    <w:p>
      <w:pPr>
        <w:spacing w:before="0" w:after="0" w:line="460"/>
        <w:ind w:right="0" w:left="1198" w:hanging="84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（三）受贈之財物市價在新臺幣五百元以下；或對本機關（構）內多數人為餽贈，其市價總額在新臺幣一千元以下。</w:t>
      </w:r>
    </w:p>
    <w:p>
      <w:pPr>
        <w:spacing w:before="0" w:after="0" w:line="460"/>
        <w:ind w:right="0" w:left="1198" w:hanging="84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（四）因訂婚、結婚、生育、喬遷、就職、陞遷異動、退休、辭職、離職及本人、配偶或直系親屬之傷病、死亡受贈之財物，其市價不超過正常社交禮俗標準。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538" w:hanging="521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五、公務員遇有受贈財物情事，應依下列程序處理：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260" w:hanging="84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（一）與其職務有利害關係者所為之餽贈，除前點但書規定之情形外，應予拒絕或退還，並簽報其長官及知會政風機構；無法退還時，應於受贈之日起三日內，交政風機構處理。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260" w:hanging="84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（二）除親屬或經常交往朋友外，與其無職務上利害關係者所為之餽贈，市價超過正常社交禮俗標準時，應於受贈之日起三日內，簽報其長官，必要時並知會政風機構。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540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各機關（構）之政風機構應視受贈財物之性質及價值，提出付費收受、歸公、轉贈慈善機構或其他適當建議，簽報機關首長核定後執行。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1078" w:hanging="1061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六、下列情形推定為公務員之受贈財物：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540" w:firstLine="2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（一）以公務員配偶、直系血親、同財共居家屬之名義收受者。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460"/>
        <w:ind w:right="0" w:left="540" w:firstLine="2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（二）藉由第三人收受後轉交公務員本人或前款之人者。</w:t>
      </w:r>
    </w:p>
    <w:p>
      <w:pPr>
        <w:spacing w:before="0" w:after="0" w:line="460"/>
        <w:ind w:right="0" w:left="538" w:hanging="538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七、公務員不得參加與其職務有利害關係者之飲宴應酬。但有下列情形之ㄧ者，不在此限：</w:t>
      </w:r>
    </w:p>
    <w:p>
      <w:pPr>
        <w:spacing w:before="0" w:after="0" w:line="460"/>
        <w:ind w:right="0" w:left="540" w:firstLine="2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（一）因公務禮儀確有必要參加。</w:t>
      </w:r>
    </w:p>
    <w:p>
      <w:pPr>
        <w:spacing w:before="0" w:after="0" w:line="460"/>
        <w:ind w:right="0" w:left="540" w:firstLine="2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（二）因民俗節慶公開舉辦之活動且邀請一般人參加。</w:t>
      </w:r>
    </w:p>
    <w:p>
      <w:pPr>
        <w:spacing w:before="0" w:after="0" w:line="460"/>
        <w:ind w:right="0" w:left="540" w:firstLine="2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（三）屬長官對屬員之獎勵、慰勞。</w:t>
      </w:r>
    </w:p>
    <w:p>
      <w:pPr>
        <w:spacing w:before="0" w:after="0" w:line="460"/>
        <w:ind w:right="0" w:left="1336" w:hanging="794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（四）因訂婚、結婚、生育、喬遷、就職、陞遷異動、退休、辭職、離職等所舉辦之活動，而未超過正常社交禮俗標準。</w:t>
      </w:r>
    </w:p>
    <w:p>
      <w:pPr>
        <w:spacing w:before="0" w:after="0" w:line="460"/>
        <w:ind w:right="0" w:left="600" w:firstLine="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公務員受邀之飲宴應酬，雖與其無職務上利害關係，而與其身分、職務顯不相宜者，仍應避免。</w:t>
      </w:r>
    </w:p>
    <w:p>
      <w:pPr>
        <w:spacing w:before="0" w:after="0" w:line="460"/>
        <w:ind w:right="0" w:left="560" w:hanging="560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八、</w:t>
      </w: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公務員除因公務需要經報請長官同意，或有其他正當理由者外，不得涉足不妥當之場所。</w:t>
      </w:r>
    </w:p>
    <w:p>
      <w:pPr>
        <w:spacing w:before="0" w:after="0" w:line="460"/>
        <w:ind w:right="0" w:left="1138" w:hanging="538"/>
        <w:jc w:val="both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公務員不得與其職務有利害關係之相關人員為不當接觸。</w:t>
      </w:r>
    </w:p>
    <w:p>
      <w:pPr>
        <w:spacing w:before="0" w:after="0" w:line="460"/>
        <w:ind w:right="0" w:left="538" w:hanging="538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九、公務員於視察、調查、出差或參加會議等活動時，不得在茶點及執行公務確有必要之簡便食宿、交通以外接受相關機關（構）飲宴或其他應酬活動。</w:t>
      </w:r>
    </w:p>
    <w:p>
      <w:pPr>
        <w:spacing w:before="0" w:after="0" w:line="460"/>
        <w:ind w:right="0" w:left="538" w:hanging="538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十、公務員遇有第七點第一項第一款或第二款情形，應簽報長官核准並知會政風機構後始得參加。</w:t>
      </w:r>
    </w:p>
    <w:p>
      <w:pPr>
        <w:spacing w:before="0" w:after="0" w:line="460"/>
        <w:ind w:right="0" w:left="840" w:hanging="8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十一、公務員遇有請託關說時，應於三日內簽報其長官並知會政風機構。</w:t>
      </w:r>
    </w:p>
    <w:p>
      <w:pPr>
        <w:spacing w:before="0" w:after="0" w:line="460"/>
        <w:ind w:right="0" w:left="840" w:hanging="8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十二、各機關（構）之政風機構受理受贈財物、飲宴應酬、請託關說或其他涉及廉政倫理事件之知會或通知後，應即登錄建檔。</w:t>
      </w:r>
    </w:p>
    <w:p>
      <w:pPr>
        <w:spacing w:before="0" w:after="0" w:line="460"/>
        <w:ind w:right="0" w:left="538" w:hanging="538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十三、公務員除依法令規定外，不得兼任其他公職或業務。</w:t>
      </w:r>
    </w:p>
    <w:p>
      <w:pPr>
        <w:spacing w:before="0" w:after="0" w:line="460"/>
        <w:ind w:right="0" w:left="840" w:hanging="8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十四、公務員出席演講、座談、研習及評審（選）等活動，支領鐘點費每小時不得超過新臺幣五千元。</w:t>
      </w:r>
    </w:p>
    <w:p>
      <w:pPr>
        <w:spacing w:before="0" w:after="0" w:line="460"/>
        <w:ind w:right="0" w:left="84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公務員參加前項活動，另有支領稿費者，每千字不得超過新臺幣二千元。</w:t>
      </w:r>
    </w:p>
    <w:p>
      <w:pPr>
        <w:spacing w:before="0" w:after="0" w:line="460"/>
        <w:ind w:right="0" w:left="84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公務員參加第一項活動，如屬與其職務有利害關係者籌辦或邀請，應先簽報其長官核准及知會政風機構登錄後始得前往。</w:t>
      </w:r>
    </w:p>
    <w:p>
      <w:pPr>
        <w:spacing w:before="0" w:after="0" w:line="460"/>
        <w:ind w:right="0" w:left="840" w:hanging="8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十五、本規範所定應知會政風機構並簽報其長官之規定，於機關（構）首長，應逕行通知政風機構。</w:t>
      </w:r>
    </w:p>
    <w:p>
      <w:pPr>
        <w:spacing w:before="0" w:after="0" w:line="460"/>
        <w:ind w:right="0" w:left="840" w:hanging="8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十六、公務員應儘量避免金錢借貸、邀集或參與合會、擔任財物或身分之保證人。如確有必要者，應知會政風機構。</w:t>
      </w:r>
    </w:p>
    <w:p>
      <w:pPr>
        <w:spacing w:before="0" w:after="0" w:line="460"/>
        <w:ind w:right="0" w:left="84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機關（構）首長及單位主管應加強對屬員之品德操守考核，發現有財務異常、生活違常者，應立即反應及處理。</w:t>
      </w:r>
    </w:p>
    <w:p>
      <w:pPr>
        <w:spacing w:before="0" w:after="0" w:line="460"/>
        <w:ind w:right="0" w:left="840" w:hanging="8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十七、各機關（構）之政風機構應指派專人，負責本規範之解釋、個案說明及提供其他廉政倫理諮詢服務。受理諮詢業務，如有疑義得送請上一級政風機構處理。</w:t>
      </w:r>
    </w:p>
    <w:p>
      <w:pPr>
        <w:spacing w:before="0" w:after="0" w:line="460"/>
        <w:ind w:right="0" w:left="84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前項所稱上一級政風機構，指受理諮詢機關（構）直屬之上一級機關政風機構，其無上級機關者，由該機關（構）執行本規範所規定上級機關之職權。</w:t>
      </w:r>
    </w:p>
    <w:p>
      <w:pPr>
        <w:spacing w:before="0" w:after="0" w:line="460"/>
        <w:ind w:right="0" w:left="84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前項所稱無上級機關者，指本院所屬各一級機關。</w:t>
      </w:r>
    </w:p>
    <w:p>
      <w:pPr>
        <w:spacing w:before="0" w:after="0" w:line="460"/>
        <w:ind w:right="0" w:left="840" w:hanging="8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十八、本規範所定應由政風機構處理之事項，於未設政風機構者，由兼辦政風業務人員或其首長指定之人員處理。</w:t>
      </w:r>
    </w:p>
    <w:p>
      <w:pPr>
        <w:spacing w:before="0" w:after="0" w:line="460"/>
        <w:ind w:right="0" w:left="840" w:hanging="8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十九、公務員違反本規範經查證屬實者，依相關規定懲處；其涉及刑事責任者，移送司法機關辦理。</w:t>
      </w:r>
    </w:p>
    <w:p>
      <w:pPr>
        <w:spacing w:before="0" w:after="0" w:line="460"/>
        <w:ind w:right="0" w:left="840" w:hanging="8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二十、各機關(構)得視需要，對本規範所定之各項標準及其他廉政倫理事項，訂定更嚴格之規範。</w:t>
      </w:r>
    </w:p>
    <w:p>
      <w:pPr>
        <w:spacing w:before="0" w:after="0" w:line="460"/>
        <w:ind w:right="0" w:left="899" w:hanging="899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二十一、本院以外其他中央及地方機關（構），得準用本規範之規定。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